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参会回执表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tbl>
      <w:tblPr>
        <w:tblStyle w:val="5"/>
        <w:tblW w:w="11331" w:type="dxa"/>
        <w:jc w:val="center"/>
        <w:tblInd w:w="-4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4"/>
        <w:gridCol w:w="1327"/>
        <w:gridCol w:w="1223"/>
        <w:gridCol w:w="1275"/>
        <w:gridCol w:w="3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63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63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会议代表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房间预订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  否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标间（  ）间     单间（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7637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单、标间，间/428元。请于1月12日前回执，发以下邮箱。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napToGrid w:val="0"/>
        <w:spacing w:before="100" w:beforeAutospacing="1" w:after="100" w:afterAutospacing="1"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需要参会的各单位或个人于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u w:val="single"/>
          <w:lang w:val="en-US" w:eastAsia="zh-CN"/>
        </w:rPr>
        <w:t>2016年1月12日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前将报名回执发到，协会邮箱：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instrText xml:space="preserve"> HYPERLINK "mailto:350905306@qq.com；并按转发通知上的付款账户缴纳会务费，会务方将不在会议期间收费。" </w:instrTex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350905306@qq.com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04D52"/>
    <w:rsid w:val="2BD04D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2016-01-07T06:37:00Z</dcterms:created>
  <dc:creator>Administrator</dc:creator>
  <cp:lastModifiedBy>Administrator</cp:lastModifiedBy>
  <dcterms:modified xsi:type="dcterms:W3CDTF">2016-01-07T06:37:50Z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